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E7" w:rsidRPr="007921E7" w:rsidRDefault="00C87C9E" w:rsidP="00C86B9A">
      <w:pPr>
        <w:autoSpaceDE w:val="0"/>
        <w:autoSpaceDN w:val="0"/>
        <w:ind w:left="1416" w:firstLine="708"/>
        <w:rPr>
          <w:b/>
          <w:sz w:val="36"/>
          <w:szCs w:val="36"/>
        </w:rPr>
      </w:pPr>
      <w:bookmarkStart w:id="0" w:name="_GoBack"/>
      <w:bookmarkEnd w:id="0"/>
      <w:r w:rsidRPr="00C54A70">
        <w:rPr>
          <w:rFonts w:eastAsia="Calibri"/>
          <w:b/>
          <w:i/>
          <w:noProof/>
          <w:lang w:eastAsia="it-IT"/>
        </w:rPr>
        <w:drawing>
          <wp:inline distT="0" distB="0" distL="0" distR="0" wp14:anchorId="5EE2455A" wp14:editId="298B6690">
            <wp:extent cx="2902585" cy="2124075"/>
            <wp:effectExtent l="0" t="0" r="0" b="0"/>
            <wp:docPr id="1" name="Immagine 1" descr="CRL per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L per 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585" cy="2124075"/>
                    </a:xfrm>
                    <a:prstGeom prst="rect">
                      <a:avLst/>
                    </a:prstGeom>
                    <a:noFill/>
                    <a:ln>
                      <a:noFill/>
                    </a:ln>
                  </pic:spPr>
                </pic:pic>
              </a:graphicData>
            </a:graphic>
          </wp:inline>
        </w:drawing>
      </w:r>
    </w:p>
    <w:p w:rsidR="008135F8" w:rsidRDefault="008135F8" w:rsidP="009A0342">
      <w:pPr>
        <w:autoSpaceDE w:val="0"/>
        <w:autoSpaceDN w:val="0"/>
      </w:pPr>
    </w:p>
    <w:p w:rsidR="003161EC" w:rsidRPr="00D64C74" w:rsidRDefault="009A0342" w:rsidP="003161EC">
      <w:pPr>
        <w:autoSpaceDE w:val="0"/>
        <w:autoSpaceDN w:val="0"/>
        <w:rPr>
          <w:rFonts w:ascii="Arial" w:hAnsi="Arial" w:cs="Arial"/>
        </w:rPr>
      </w:pPr>
      <w:r w:rsidRPr="00D64C74">
        <w:rPr>
          <w:rFonts w:ascii="Arial" w:hAnsi="Arial" w:cs="Arial"/>
        </w:rPr>
        <w:t xml:space="preserve">ha la possibilità di attivare un </w:t>
      </w:r>
      <w:r w:rsidRPr="00D64C74">
        <w:rPr>
          <w:rFonts w:ascii="Arial" w:hAnsi="Arial" w:cs="Arial"/>
          <w:i/>
        </w:rPr>
        <w:t>tirocinio curriculare</w:t>
      </w:r>
      <w:r w:rsidR="00167C4F" w:rsidRPr="00D64C74">
        <w:rPr>
          <w:rFonts w:ascii="Arial" w:hAnsi="Arial" w:cs="Arial"/>
          <w:i/>
        </w:rPr>
        <w:t xml:space="preserve"> </w:t>
      </w:r>
      <w:r w:rsidRPr="00D64C74">
        <w:rPr>
          <w:rFonts w:ascii="Arial" w:hAnsi="Arial" w:cs="Arial"/>
        </w:rPr>
        <w:t xml:space="preserve">per la sede di </w:t>
      </w:r>
      <w:r w:rsidR="00FE3C1F" w:rsidRPr="00D64C74">
        <w:rPr>
          <w:rFonts w:ascii="Arial" w:hAnsi="Arial" w:cs="Arial"/>
        </w:rPr>
        <w:t>Roma</w:t>
      </w:r>
    </w:p>
    <w:p w:rsidR="00DD0CB9" w:rsidRPr="00D64C74" w:rsidRDefault="00DD0CB9" w:rsidP="003161EC">
      <w:pPr>
        <w:autoSpaceDE w:val="0"/>
        <w:autoSpaceDN w:val="0"/>
        <w:rPr>
          <w:rFonts w:ascii="Arial" w:hAnsi="Arial" w:cs="Arial"/>
        </w:rPr>
      </w:pPr>
    </w:p>
    <w:p w:rsidR="00AD7F96" w:rsidRPr="00D64C74" w:rsidRDefault="009F741A" w:rsidP="003161EC">
      <w:pPr>
        <w:autoSpaceDE w:val="0"/>
        <w:autoSpaceDN w:val="0"/>
        <w:rPr>
          <w:rFonts w:ascii="Arial" w:hAnsi="Arial" w:cs="Arial"/>
        </w:rPr>
      </w:pPr>
      <w:r w:rsidRPr="00D64C74">
        <w:rPr>
          <w:rFonts w:ascii="Arial" w:hAnsi="Arial" w:cs="Arial"/>
          <w:b/>
        </w:rPr>
        <w:t>Indirizzo</w:t>
      </w:r>
      <w:r w:rsidR="003845FA" w:rsidRPr="00D64C74">
        <w:rPr>
          <w:rFonts w:ascii="Arial" w:hAnsi="Arial" w:cs="Arial"/>
          <w:b/>
        </w:rPr>
        <w:t xml:space="preserve"> sede</w:t>
      </w:r>
      <w:r w:rsidRPr="00D64C74">
        <w:rPr>
          <w:rFonts w:ascii="Arial" w:hAnsi="Arial" w:cs="Arial"/>
          <w:b/>
        </w:rPr>
        <w:t>:</w:t>
      </w:r>
      <w:r w:rsidR="00AD7F96" w:rsidRPr="00D64C74">
        <w:rPr>
          <w:rFonts w:ascii="Arial" w:hAnsi="Arial" w:cs="Arial"/>
        </w:rPr>
        <w:t xml:space="preserve"> </w:t>
      </w:r>
      <w:r w:rsidR="00FE3C1F" w:rsidRPr="00D64C74">
        <w:rPr>
          <w:rFonts w:ascii="Arial" w:hAnsi="Arial" w:cs="Arial"/>
        </w:rPr>
        <w:t>0016</w:t>
      </w:r>
      <w:r w:rsidR="00E9325C" w:rsidRPr="00D64C74">
        <w:rPr>
          <w:rFonts w:ascii="Arial" w:hAnsi="Arial" w:cs="Arial"/>
        </w:rPr>
        <w:t>3</w:t>
      </w:r>
      <w:r w:rsidR="00FE3C1F" w:rsidRPr="00D64C74">
        <w:rPr>
          <w:rFonts w:ascii="Arial" w:hAnsi="Arial" w:cs="Arial"/>
        </w:rPr>
        <w:t xml:space="preserve"> Roma, Via della Pisana 1301</w:t>
      </w:r>
    </w:p>
    <w:p w:rsidR="007921E7" w:rsidRPr="00D64C74" w:rsidRDefault="007921E7" w:rsidP="003161EC">
      <w:pPr>
        <w:autoSpaceDE w:val="0"/>
        <w:autoSpaceDN w:val="0"/>
        <w:rPr>
          <w:rFonts w:ascii="Arial" w:hAnsi="Arial" w:cs="Arial"/>
        </w:rPr>
      </w:pPr>
    </w:p>
    <w:p w:rsidR="007921E7" w:rsidRPr="00D64C74" w:rsidRDefault="007921E7" w:rsidP="003161EC">
      <w:pPr>
        <w:autoSpaceDE w:val="0"/>
        <w:autoSpaceDN w:val="0"/>
        <w:rPr>
          <w:rFonts w:ascii="Arial" w:hAnsi="Arial" w:cs="Arial"/>
        </w:rPr>
      </w:pPr>
      <w:r w:rsidRPr="00D64C74">
        <w:rPr>
          <w:rFonts w:ascii="Arial" w:hAnsi="Arial" w:cs="Arial"/>
          <w:b/>
        </w:rPr>
        <w:t>Sito web</w:t>
      </w:r>
      <w:r w:rsidR="00E9325C" w:rsidRPr="00D64C74">
        <w:rPr>
          <w:rFonts w:ascii="Arial" w:hAnsi="Arial" w:cs="Arial"/>
        </w:rPr>
        <w:t xml:space="preserve">: </w:t>
      </w:r>
      <w:hyperlink r:id="rId7" w:history="1">
        <w:r w:rsidR="000427A7" w:rsidRPr="00D64C74">
          <w:rPr>
            <w:rStyle w:val="Collegamentoipertestuale"/>
            <w:rFonts w:ascii="Arial" w:hAnsi="Arial" w:cs="Arial"/>
          </w:rPr>
          <w:t>www.consiglio.regione.lazio.it</w:t>
        </w:r>
      </w:hyperlink>
      <w:r w:rsidR="000427A7" w:rsidRPr="00D64C74">
        <w:rPr>
          <w:rFonts w:ascii="Arial" w:hAnsi="Arial" w:cs="Arial"/>
        </w:rPr>
        <w:t xml:space="preserve"> </w:t>
      </w:r>
    </w:p>
    <w:p w:rsidR="00DD0CB9" w:rsidRPr="00D64C74" w:rsidRDefault="00DD0CB9" w:rsidP="00836398">
      <w:pPr>
        <w:rPr>
          <w:rFonts w:ascii="Arial" w:hAnsi="Arial" w:cs="Arial"/>
        </w:rPr>
      </w:pPr>
    </w:p>
    <w:p w:rsidR="00836398" w:rsidRPr="00D64C74" w:rsidRDefault="00836398" w:rsidP="00836398">
      <w:pPr>
        <w:rPr>
          <w:rFonts w:ascii="Arial" w:hAnsi="Arial" w:cs="Arial"/>
        </w:rPr>
      </w:pPr>
      <w:r w:rsidRPr="00D64C74">
        <w:rPr>
          <w:rFonts w:ascii="Arial" w:hAnsi="Arial" w:cs="Arial"/>
          <w:b/>
        </w:rPr>
        <w:t>Tirocinante proveniente dal corso di studi in</w:t>
      </w:r>
      <w:r w:rsidRPr="00D64C74">
        <w:rPr>
          <w:rFonts w:ascii="Arial" w:hAnsi="Arial" w:cs="Arial"/>
        </w:rPr>
        <w:t xml:space="preserve">: </w:t>
      </w:r>
      <w:r w:rsidR="00974CFB" w:rsidRPr="00D64C74">
        <w:rPr>
          <w:rFonts w:ascii="Arial" w:hAnsi="Arial" w:cs="Arial"/>
        </w:rPr>
        <w:t>Giurisprudenza</w:t>
      </w:r>
      <w:r w:rsidRPr="00D64C74">
        <w:rPr>
          <w:rFonts w:ascii="Arial" w:hAnsi="Arial" w:cs="Arial"/>
        </w:rPr>
        <w:t>.</w:t>
      </w:r>
    </w:p>
    <w:p w:rsidR="003161EC" w:rsidRPr="00D64C74" w:rsidRDefault="003161EC" w:rsidP="009A0342">
      <w:pPr>
        <w:autoSpaceDE w:val="0"/>
        <w:autoSpaceDN w:val="0"/>
        <w:rPr>
          <w:rFonts w:ascii="Arial" w:hAnsi="Arial" w:cs="Arial"/>
        </w:rPr>
      </w:pPr>
    </w:p>
    <w:p w:rsidR="009A0342" w:rsidRPr="00D64C74" w:rsidRDefault="009A0342" w:rsidP="009A0342">
      <w:pPr>
        <w:autoSpaceDE w:val="0"/>
        <w:autoSpaceDN w:val="0"/>
        <w:rPr>
          <w:rFonts w:ascii="Arial" w:hAnsi="Arial" w:cs="Arial"/>
        </w:rPr>
      </w:pPr>
      <w:r w:rsidRPr="00D64C74">
        <w:rPr>
          <w:rFonts w:ascii="Arial" w:hAnsi="Arial" w:cs="Arial"/>
          <w:b/>
        </w:rPr>
        <w:t>Settore</w:t>
      </w:r>
      <w:r w:rsidR="003845FA" w:rsidRPr="00D64C74">
        <w:rPr>
          <w:rFonts w:ascii="Arial" w:hAnsi="Arial" w:cs="Arial"/>
          <w:b/>
        </w:rPr>
        <w:t xml:space="preserve"> di inserimento:</w:t>
      </w:r>
      <w:r w:rsidRPr="00D64C74">
        <w:rPr>
          <w:rFonts w:ascii="Arial" w:hAnsi="Arial" w:cs="Arial"/>
        </w:rPr>
        <w:t xml:space="preserve"> </w:t>
      </w:r>
      <w:r w:rsidR="00D35940" w:rsidRPr="00D64C74">
        <w:rPr>
          <w:rFonts w:ascii="Arial" w:hAnsi="Arial" w:cs="Arial"/>
        </w:rPr>
        <w:t xml:space="preserve">Ufficio </w:t>
      </w:r>
      <w:r w:rsidR="009B6E4B" w:rsidRPr="00D64C74">
        <w:rPr>
          <w:rFonts w:ascii="Arial" w:hAnsi="Arial" w:cs="Arial"/>
        </w:rPr>
        <w:t>Legislativo – Segreteria gener</w:t>
      </w:r>
      <w:r w:rsidR="00D64C74">
        <w:rPr>
          <w:rFonts w:ascii="Arial" w:hAnsi="Arial" w:cs="Arial"/>
        </w:rPr>
        <w:t>ale – Ufficio amministrativo.</w:t>
      </w:r>
    </w:p>
    <w:p w:rsidR="003161EC" w:rsidRPr="00D64C74" w:rsidRDefault="009A0342" w:rsidP="00836398">
      <w:pPr>
        <w:rPr>
          <w:rFonts w:ascii="Arial" w:hAnsi="Arial" w:cs="Arial"/>
        </w:rPr>
      </w:pPr>
      <w:r w:rsidRPr="00D64C74">
        <w:rPr>
          <w:rFonts w:ascii="Arial" w:hAnsi="Arial" w:cs="Arial"/>
        </w:rPr>
        <w:t> </w:t>
      </w:r>
    </w:p>
    <w:p w:rsidR="007B211C" w:rsidRPr="00D64C74" w:rsidRDefault="00836398" w:rsidP="00C72344">
      <w:pPr>
        <w:rPr>
          <w:rFonts w:ascii="Arial" w:hAnsi="Arial" w:cs="Arial"/>
        </w:rPr>
      </w:pPr>
      <w:r w:rsidRPr="00D64C74">
        <w:rPr>
          <w:rFonts w:ascii="Arial" w:hAnsi="Arial" w:cs="Arial"/>
          <w:b/>
        </w:rPr>
        <w:t>Principali attività del settore</w:t>
      </w:r>
      <w:r w:rsidR="009A0342" w:rsidRPr="00D64C74">
        <w:rPr>
          <w:rFonts w:ascii="Arial" w:hAnsi="Arial" w:cs="Arial"/>
          <w:b/>
        </w:rPr>
        <w:t>:</w:t>
      </w:r>
      <w:r w:rsidR="007B211C" w:rsidRPr="00D64C74">
        <w:rPr>
          <w:rFonts w:ascii="Arial" w:hAnsi="Arial" w:cs="Arial"/>
          <w:b/>
        </w:rPr>
        <w:t xml:space="preserve"> </w:t>
      </w:r>
      <w:r w:rsidR="00C72344" w:rsidRPr="00D64C74">
        <w:rPr>
          <w:rFonts w:ascii="Arial" w:hAnsi="Arial" w:cs="Arial"/>
        </w:rPr>
        <w:t xml:space="preserve">attività legislativa </w:t>
      </w:r>
      <w:r w:rsidR="00D64C74">
        <w:rPr>
          <w:rFonts w:ascii="Arial" w:hAnsi="Arial" w:cs="Arial"/>
        </w:rPr>
        <w:t>–</w:t>
      </w:r>
      <w:r w:rsidR="00C72344" w:rsidRPr="00D64C74">
        <w:rPr>
          <w:rFonts w:ascii="Arial" w:hAnsi="Arial" w:cs="Arial"/>
        </w:rPr>
        <w:t xml:space="preserve"> amministrazione</w:t>
      </w:r>
      <w:r w:rsidR="00D64C74">
        <w:rPr>
          <w:rFonts w:ascii="Arial" w:hAnsi="Arial" w:cs="Arial"/>
        </w:rPr>
        <w:t>.</w:t>
      </w:r>
    </w:p>
    <w:p w:rsidR="00080D8A" w:rsidRPr="00D64C74" w:rsidRDefault="00080D8A" w:rsidP="00080D8A">
      <w:pPr>
        <w:rPr>
          <w:rFonts w:ascii="Arial" w:hAnsi="Arial" w:cs="Arial"/>
          <w:b/>
        </w:rPr>
      </w:pPr>
    </w:p>
    <w:p w:rsidR="009A0342" w:rsidRPr="00D64C74" w:rsidRDefault="009A0342" w:rsidP="00080D8A">
      <w:pPr>
        <w:rPr>
          <w:rFonts w:ascii="Arial" w:hAnsi="Arial" w:cs="Arial"/>
          <w:b/>
        </w:rPr>
      </w:pPr>
      <w:r w:rsidRPr="00D64C74">
        <w:rPr>
          <w:rFonts w:ascii="Arial" w:hAnsi="Arial" w:cs="Arial"/>
          <w:b/>
        </w:rPr>
        <w:t>Attività</w:t>
      </w:r>
      <w:r w:rsidR="00836398" w:rsidRPr="00D64C74">
        <w:rPr>
          <w:rFonts w:ascii="Arial" w:hAnsi="Arial" w:cs="Arial"/>
          <w:b/>
        </w:rPr>
        <w:t xml:space="preserve"> a cui il tirocinante potrà prendere parte</w:t>
      </w:r>
      <w:r w:rsidRPr="00D64C74">
        <w:rPr>
          <w:rFonts w:ascii="Arial" w:hAnsi="Arial" w:cs="Arial"/>
          <w:b/>
        </w:rPr>
        <w:t>:</w:t>
      </w:r>
    </w:p>
    <w:p w:rsidR="00C72344" w:rsidRPr="00D64C74" w:rsidRDefault="00C72344" w:rsidP="00080D8A">
      <w:pPr>
        <w:rPr>
          <w:rFonts w:ascii="Arial" w:hAnsi="Arial" w:cs="Arial"/>
          <w:b/>
        </w:rPr>
      </w:pPr>
    </w:p>
    <w:p w:rsidR="003E1F06" w:rsidRDefault="00C72344" w:rsidP="00C72344">
      <w:pPr>
        <w:pStyle w:val="Paragrafoelenco"/>
        <w:numPr>
          <w:ilvl w:val="0"/>
          <w:numId w:val="4"/>
        </w:numPr>
        <w:spacing w:after="200" w:line="276" w:lineRule="auto"/>
        <w:jc w:val="both"/>
        <w:rPr>
          <w:rFonts w:ascii="Arial" w:eastAsia="Calibri" w:hAnsi="Arial" w:cs="Arial"/>
          <w:i/>
        </w:rPr>
      </w:pPr>
      <w:r w:rsidRPr="00D64C74">
        <w:rPr>
          <w:rFonts w:ascii="Arial" w:eastAsia="Calibri" w:hAnsi="Arial" w:cs="Arial"/>
          <w:i/>
        </w:rPr>
        <w:t xml:space="preserve">Conoscenza del procedimento di approvazione delle leggi regionali. Studio bozza di proposte di legge, verifica delle criticità dell’atto, sia sotto il profilo formale della tecnica di redazione del testo sia sotto quello sostanziale di legittimità. Affiancamento nell’analisi degli emendamenti e sub-emendamenti, conoscenza delle modalità e dei termini per la presentazione degli stessi. </w:t>
      </w:r>
    </w:p>
    <w:p w:rsidR="003E1F06" w:rsidRDefault="003E1F06" w:rsidP="003E1F06">
      <w:pPr>
        <w:pStyle w:val="Paragrafoelenco"/>
        <w:spacing w:after="200" w:line="276" w:lineRule="auto"/>
        <w:jc w:val="both"/>
        <w:rPr>
          <w:rFonts w:ascii="Arial" w:eastAsia="Calibri" w:hAnsi="Arial" w:cs="Arial"/>
          <w:i/>
        </w:rPr>
      </w:pPr>
    </w:p>
    <w:p w:rsidR="00C72344" w:rsidRDefault="00C72344" w:rsidP="00C72344">
      <w:pPr>
        <w:pStyle w:val="Paragrafoelenco"/>
        <w:numPr>
          <w:ilvl w:val="0"/>
          <w:numId w:val="4"/>
        </w:numPr>
        <w:spacing w:after="200" w:line="276" w:lineRule="auto"/>
        <w:jc w:val="both"/>
        <w:rPr>
          <w:rFonts w:ascii="Arial" w:eastAsia="Calibri" w:hAnsi="Arial" w:cs="Arial"/>
          <w:i/>
        </w:rPr>
      </w:pPr>
      <w:r w:rsidRPr="00D64C74">
        <w:rPr>
          <w:rFonts w:ascii="Arial" w:eastAsia="Calibri" w:hAnsi="Arial" w:cs="Arial"/>
          <w:i/>
        </w:rPr>
        <w:t xml:space="preserve">Conoscenze delle regole di </w:t>
      </w:r>
      <w:proofErr w:type="spellStart"/>
      <w:r w:rsidRPr="00D64C74">
        <w:rPr>
          <w:rFonts w:ascii="Arial" w:eastAsia="Calibri" w:hAnsi="Arial" w:cs="Arial"/>
          <w:i/>
        </w:rPr>
        <w:t>drafting</w:t>
      </w:r>
      <w:proofErr w:type="spellEnd"/>
      <w:r w:rsidRPr="00D64C74">
        <w:rPr>
          <w:rFonts w:ascii="Arial" w:eastAsia="Calibri" w:hAnsi="Arial" w:cs="Arial"/>
          <w:i/>
        </w:rPr>
        <w:t>.</w:t>
      </w:r>
    </w:p>
    <w:p w:rsidR="00D64C74" w:rsidRPr="00D64C74" w:rsidRDefault="00D64C74" w:rsidP="00D64C74">
      <w:pPr>
        <w:pStyle w:val="Paragrafoelenco"/>
        <w:spacing w:after="200" w:line="276" w:lineRule="auto"/>
        <w:jc w:val="both"/>
        <w:rPr>
          <w:rFonts w:ascii="Arial" w:eastAsia="Calibri" w:hAnsi="Arial" w:cs="Arial"/>
          <w:i/>
        </w:rPr>
      </w:pPr>
    </w:p>
    <w:p w:rsidR="00D64C74" w:rsidRPr="00D64C74" w:rsidRDefault="00C72344" w:rsidP="00D64C74">
      <w:pPr>
        <w:pStyle w:val="Paragrafoelenco"/>
        <w:numPr>
          <w:ilvl w:val="0"/>
          <w:numId w:val="4"/>
        </w:numPr>
        <w:spacing w:after="200" w:line="276" w:lineRule="auto"/>
        <w:jc w:val="both"/>
        <w:rPr>
          <w:rFonts w:ascii="Arial" w:eastAsia="Calibri" w:hAnsi="Arial" w:cs="Arial"/>
          <w:i/>
        </w:rPr>
      </w:pPr>
      <w:r w:rsidRPr="00D64C74">
        <w:rPr>
          <w:rFonts w:ascii="Arial" w:eastAsia="Calibri" w:hAnsi="Arial" w:cs="Arial"/>
          <w:i/>
        </w:rPr>
        <w:t>Conoscenza del procedimento di approvazione di proposte di legge e deliberazioni consiliari nonché delle attività di sindacato ispettivo con particolare riguardo ai lavori delle commissioni. Utilizzazione dell’analisi tecnico normativa (ATN) volta a verificare l’incidenza della norma in esame sull’ordinamento giuridico vigente, la sua conformità alla Costituzione, allo Statuto e alla disciplina comunitaria nonché al rispetto delle competenze statali, delle regioni e delle autonomie locali.</w:t>
      </w:r>
      <w:r w:rsidR="00D64C74">
        <w:rPr>
          <w:rFonts w:ascii="Arial" w:eastAsia="Calibri" w:hAnsi="Arial" w:cs="Arial"/>
          <w:i/>
        </w:rPr>
        <w:br/>
      </w:r>
    </w:p>
    <w:p w:rsidR="00C72344" w:rsidRPr="00D64C74" w:rsidRDefault="00C72344" w:rsidP="00C72344">
      <w:pPr>
        <w:pStyle w:val="Paragrafoelenco"/>
        <w:numPr>
          <w:ilvl w:val="0"/>
          <w:numId w:val="4"/>
        </w:numPr>
        <w:spacing w:after="200" w:line="276" w:lineRule="auto"/>
        <w:jc w:val="both"/>
        <w:rPr>
          <w:rFonts w:ascii="Arial" w:eastAsia="Calibri" w:hAnsi="Arial" w:cs="Arial"/>
          <w:i/>
        </w:rPr>
      </w:pPr>
      <w:r w:rsidRPr="00D64C74">
        <w:rPr>
          <w:rFonts w:ascii="Arial" w:eastAsia="Calibri" w:hAnsi="Arial" w:cs="Arial"/>
          <w:i/>
        </w:rPr>
        <w:t xml:space="preserve">Conoscenza di base dell’attività istituzionale ed amministrativa dei servizi e strutture dell’ente. </w:t>
      </w:r>
    </w:p>
    <w:p w:rsidR="00DD0CB9" w:rsidRPr="00D64C74" w:rsidRDefault="00DD0CB9" w:rsidP="00836398">
      <w:pPr>
        <w:pStyle w:val="Paragrafoelenco"/>
        <w:rPr>
          <w:rFonts w:ascii="Arial" w:hAnsi="Arial" w:cs="Arial"/>
        </w:rPr>
      </w:pPr>
    </w:p>
    <w:p w:rsidR="009A0342" w:rsidRPr="00D64C74" w:rsidRDefault="009F741A" w:rsidP="009A0342">
      <w:pPr>
        <w:rPr>
          <w:rFonts w:ascii="Arial" w:hAnsi="Arial" w:cs="Arial"/>
        </w:rPr>
      </w:pPr>
      <w:r w:rsidRPr="00D64C74">
        <w:rPr>
          <w:rFonts w:ascii="Arial" w:hAnsi="Arial" w:cs="Arial"/>
          <w:b/>
        </w:rPr>
        <w:t>Requisiti</w:t>
      </w:r>
      <w:r w:rsidRPr="00D64C74">
        <w:rPr>
          <w:rFonts w:ascii="Arial" w:hAnsi="Arial" w:cs="Arial"/>
        </w:rPr>
        <w:t>:</w:t>
      </w:r>
      <w:r w:rsidR="009A0342" w:rsidRPr="00D64C74">
        <w:rPr>
          <w:rFonts w:ascii="Arial" w:hAnsi="Arial" w:cs="Arial"/>
        </w:rPr>
        <w:t xml:space="preserve"> </w:t>
      </w:r>
    </w:p>
    <w:p w:rsidR="00DD0CB9" w:rsidRDefault="009A0342" w:rsidP="00DD0CB9">
      <w:pPr>
        <w:pStyle w:val="Paragrafoelenco"/>
        <w:numPr>
          <w:ilvl w:val="0"/>
          <w:numId w:val="1"/>
        </w:numPr>
        <w:rPr>
          <w:rFonts w:ascii="Arial" w:hAnsi="Arial" w:cs="Arial"/>
        </w:rPr>
      </w:pPr>
      <w:r w:rsidRPr="00D64C74">
        <w:rPr>
          <w:rFonts w:ascii="Arial" w:hAnsi="Arial" w:cs="Arial"/>
        </w:rPr>
        <w:t>conoscenza</w:t>
      </w:r>
      <w:r w:rsidR="00D64C74">
        <w:rPr>
          <w:rFonts w:ascii="Arial" w:hAnsi="Arial" w:cs="Arial"/>
        </w:rPr>
        <w:t xml:space="preserve"> del pacchetto office;</w:t>
      </w:r>
    </w:p>
    <w:p w:rsidR="00D64C74" w:rsidRDefault="00D64C74" w:rsidP="00DD0CB9">
      <w:pPr>
        <w:pStyle w:val="Paragrafoelenco"/>
        <w:numPr>
          <w:ilvl w:val="0"/>
          <w:numId w:val="1"/>
        </w:numPr>
        <w:rPr>
          <w:rFonts w:ascii="Arial" w:hAnsi="Arial" w:cs="Arial"/>
        </w:rPr>
      </w:pPr>
      <w:r>
        <w:rPr>
          <w:rFonts w:ascii="Arial" w:hAnsi="Arial" w:cs="Arial"/>
        </w:rPr>
        <w:t>conoscenza della lingua inglese livello B1;</w:t>
      </w:r>
    </w:p>
    <w:p w:rsidR="00D64C74" w:rsidRPr="00D64C74" w:rsidRDefault="00D64C74" w:rsidP="00DD0CB9">
      <w:pPr>
        <w:pStyle w:val="Paragrafoelenco"/>
        <w:numPr>
          <w:ilvl w:val="0"/>
          <w:numId w:val="1"/>
        </w:numPr>
        <w:rPr>
          <w:rFonts w:ascii="Arial" w:hAnsi="Arial" w:cs="Arial"/>
        </w:rPr>
      </w:pPr>
      <w:r>
        <w:rPr>
          <w:rFonts w:ascii="Arial" w:hAnsi="Arial" w:cs="Arial"/>
        </w:rPr>
        <w:t>conoscenza generale della normativa.</w:t>
      </w:r>
    </w:p>
    <w:p w:rsidR="00DD0CB9" w:rsidRPr="00D64C74" w:rsidRDefault="00DD0CB9" w:rsidP="00DD0CB9">
      <w:pPr>
        <w:rPr>
          <w:rFonts w:ascii="Arial" w:hAnsi="Arial" w:cs="Arial"/>
        </w:rPr>
      </w:pPr>
    </w:p>
    <w:p w:rsidR="00DD0CB9" w:rsidRPr="00D64C74" w:rsidRDefault="00836398" w:rsidP="00DD0CB9">
      <w:pPr>
        <w:pStyle w:val="Paragrafoelenco"/>
        <w:ind w:left="0"/>
        <w:rPr>
          <w:rFonts w:ascii="Arial" w:hAnsi="Arial" w:cs="Arial"/>
        </w:rPr>
      </w:pPr>
      <w:r w:rsidRPr="00D64C74">
        <w:rPr>
          <w:rFonts w:ascii="Arial" w:hAnsi="Arial" w:cs="Arial"/>
          <w:b/>
        </w:rPr>
        <w:t>Periodo:</w:t>
      </w:r>
      <w:r w:rsidR="00F13C5A" w:rsidRPr="00D64C74">
        <w:rPr>
          <w:rFonts w:ascii="Arial" w:hAnsi="Arial" w:cs="Arial"/>
        </w:rPr>
        <w:t xml:space="preserve"> l’inserimento del tirocinante</w:t>
      </w:r>
      <w:r w:rsidRPr="00D64C74">
        <w:rPr>
          <w:rFonts w:ascii="Arial" w:hAnsi="Arial" w:cs="Arial"/>
        </w:rPr>
        <w:t xml:space="preserve"> è previsto </w:t>
      </w:r>
      <w:r w:rsidR="00080D8A" w:rsidRPr="00D64C74">
        <w:rPr>
          <w:rFonts w:ascii="Arial" w:hAnsi="Arial" w:cs="Arial"/>
        </w:rPr>
        <w:t>in ogni periodo dell’anno, compatibilmente con le presenze di altri tirocinanti</w:t>
      </w:r>
      <w:r w:rsidRPr="00D64C74">
        <w:rPr>
          <w:rFonts w:ascii="Arial" w:hAnsi="Arial" w:cs="Arial"/>
        </w:rPr>
        <w:t>.</w:t>
      </w:r>
    </w:p>
    <w:p w:rsidR="00DD0CB9" w:rsidRPr="00D64C74" w:rsidRDefault="00DD0CB9" w:rsidP="00DD0CB9">
      <w:pPr>
        <w:pStyle w:val="Paragrafoelenco"/>
        <w:ind w:left="0"/>
        <w:rPr>
          <w:rFonts w:ascii="Arial" w:hAnsi="Arial" w:cs="Arial"/>
        </w:rPr>
      </w:pPr>
    </w:p>
    <w:p w:rsidR="00080D8A" w:rsidRPr="00D64C74" w:rsidRDefault="00836398" w:rsidP="00DD0CB9">
      <w:pPr>
        <w:pStyle w:val="Paragrafoelenco"/>
        <w:ind w:left="0"/>
        <w:rPr>
          <w:rFonts w:ascii="Arial" w:hAnsi="Arial" w:cs="Arial"/>
        </w:rPr>
      </w:pPr>
      <w:r w:rsidRPr="00D64C74">
        <w:rPr>
          <w:rFonts w:ascii="Arial" w:hAnsi="Arial" w:cs="Arial"/>
          <w:b/>
        </w:rPr>
        <w:t>Rimborso spese:</w:t>
      </w:r>
      <w:r w:rsidR="00080D8A" w:rsidRPr="00D64C74">
        <w:rPr>
          <w:rFonts w:ascii="Arial" w:hAnsi="Arial" w:cs="Arial"/>
        </w:rPr>
        <w:t xml:space="preserve"> </w:t>
      </w:r>
      <w:r w:rsidR="00D64C74">
        <w:rPr>
          <w:rFonts w:ascii="Arial" w:hAnsi="Arial" w:cs="Arial"/>
        </w:rPr>
        <w:t xml:space="preserve">non è previsto, ma vi è la possibilità di usufruire della </w:t>
      </w:r>
      <w:r w:rsidR="00080D8A" w:rsidRPr="00D64C74">
        <w:rPr>
          <w:rFonts w:ascii="Arial" w:hAnsi="Arial" w:cs="Arial"/>
        </w:rPr>
        <w:t>Mensa</w:t>
      </w:r>
      <w:r w:rsidR="00DB171A" w:rsidRPr="00D64C74">
        <w:rPr>
          <w:rFonts w:ascii="Arial" w:hAnsi="Arial" w:cs="Arial"/>
        </w:rPr>
        <w:t xml:space="preserve"> aziendale, Bar, edicola, tabacchi, d</w:t>
      </w:r>
      <w:r w:rsidR="00080D8A" w:rsidRPr="00D64C74">
        <w:rPr>
          <w:rFonts w:ascii="Arial" w:hAnsi="Arial" w:cs="Arial"/>
        </w:rPr>
        <w:t>istributori automatici di snack e bevande</w:t>
      </w:r>
      <w:r w:rsidR="00D64C74">
        <w:rPr>
          <w:rFonts w:ascii="Arial" w:hAnsi="Arial" w:cs="Arial"/>
        </w:rPr>
        <w:t>.</w:t>
      </w:r>
    </w:p>
    <w:p w:rsidR="00D64C74" w:rsidRDefault="00D64C74" w:rsidP="00DD0CB9">
      <w:pPr>
        <w:pStyle w:val="Paragrafoelenco"/>
        <w:ind w:left="0"/>
        <w:rPr>
          <w:rFonts w:ascii="Arial" w:hAnsi="Arial" w:cs="Arial"/>
          <w:b/>
        </w:rPr>
      </w:pPr>
    </w:p>
    <w:p w:rsidR="009F741A" w:rsidRDefault="00080D8A" w:rsidP="003E1F06">
      <w:pPr>
        <w:pStyle w:val="Paragrafoelenco"/>
        <w:ind w:left="0"/>
        <w:rPr>
          <w:b/>
        </w:rPr>
      </w:pPr>
      <w:r w:rsidRPr="00D64C74">
        <w:rPr>
          <w:rFonts w:ascii="Arial" w:hAnsi="Arial" w:cs="Arial"/>
          <w:b/>
        </w:rPr>
        <w:t>Trasporti</w:t>
      </w:r>
      <w:r w:rsidRPr="00D64C74">
        <w:rPr>
          <w:rFonts w:ascii="Arial" w:hAnsi="Arial" w:cs="Arial"/>
        </w:rPr>
        <w:t>:</w:t>
      </w:r>
      <w:r w:rsidR="00F13C5A" w:rsidRPr="00D64C74">
        <w:rPr>
          <w:rFonts w:ascii="Arial" w:hAnsi="Arial" w:cs="Arial"/>
        </w:rPr>
        <w:t xml:space="preserve"> navetta gratuita in alcuni</w:t>
      </w:r>
      <w:r w:rsidRPr="00D64C74">
        <w:rPr>
          <w:rFonts w:ascii="Arial" w:hAnsi="Arial" w:cs="Arial"/>
        </w:rPr>
        <w:t xml:space="preserve"> orari </w:t>
      </w:r>
      <w:r w:rsidR="00F13C5A" w:rsidRPr="00D64C74">
        <w:rPr>
          <w:rFonts w:ascii="Arial" w:hAnsi="Arial" w:cs="Arial"/>
        </w:rPr>
        <w:t xml:space="preserve">da Metro </w:t>
      </w:r>
      <w:proofErr w:type="spellStart"/>
      <w:r w:rsidR="00F13C5A" w:rsidRPr="00D64C74">
        <w:rPr>
          <w:rFonts w:ascii="Arial" w:hAnsi="Arial" w:cs="Arial"/>
        </w:rPr>
        <w:t>Eur</w:t>
      </w:r>
      <w:proofErr w:type="spellEnd"/>
      <w:r w:rsidR="00F13C5A" w:rsidRPr="00D64C74">
        <w:rPr>
          <w:rFonts w:ascii="Arial" w:hAnsi="Arial" w:cs="Arial"/>
        </w:rPr>
        <w:t xml:space="preserve"> Magliana e Cornelia</w:t>
      </w:r>
      <w:r w:rsidR="00D64C74">
        <w:rPr>
          <w:rFonts w:ascii="Arial" w:hAnsi="Arial" w:cs="Arial"/>
        </w:rPr>
        <w:t>.</w:t>
      </w:r>
      <w:r w:rsidRPr="00D64C74">
        <w:rPr>
          <w:rFonts w:ascii="Arial" w:hAnsi="Arial" w:cs="Arial"/>
        </w:rPr>
        <w:t xml:space="preserve"> </w:t>
      </w:r>
    </w:p>
    <w:sectPr w:rsidR="009F741A" w:rsidSect="003E1F06">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A09"/>
    <w:multiLevelType w:val="hybridMultilevel"/>
    <w:tmpl w:val="0B0AC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4126BF"/>
    <w:multiLevelType w:val="hybridMultilevel"/>
    <w:tmpl w:val="870AF4A6"/>
    <w:lvl w:ilvl="0" w:tplc="F7924870">
      <w:numFmt w:val="bullet"/>
      <w:lvlText w:val="-"/>
      <w:lvlJc w:val="left"/>
      <w:pPr>
        <w:ind w:left="405" w:hanging="360"/>
      </w:pPr>
      <w:rPr>
        <w:rFonts w:ascii="Calibri" w:eastAsiaTheme="minorHAns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381B11E2"/>
    <w:multiLevelType w:val="hybridMultilevel"/>
    <w:tmpl w:val="9ECEB722"/>
    <w:lvl w:ilvl="0" w:tplc="2564D596">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DCD7F1A"/>
    <w:multiLevelType w:val="hybridMultilevel"/>
    <w:tmpl w:val="C4209858"/>
    <w:lvl w:ilvl="0" w:tplc="24DC7870">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FB"/>
    <w:rsid w:val="000427A7"/>
    <w:rsid w:val="000435C0"/>
    <w:rsid w:val="00080D8A"/>
    <w:rsid w:val="00167C4F"/>
    <w:rsid w:val="001C3B3F"/>
    <w:rsid w:val="003161EC"/>
    <w:rsid w:val="003845FA"/>
    <w:rsid w:val="003E1F06"/>
    <w:rsid w:val="004F08C8"/>
    <w:rsid w:val="004F61F2"/>
    <w:rsid w:val="00511B19"/>
    <w:rsid w:val="00652809"/>
    <w:rsid w:val="007921E7"/>
    <w:rsid w:val="0079781B"/>
    <w:rsid w:val="007B211C"/>
    <w:rsid w:val="00802B1B"/>
    <w:rsid w:val="008135F8"/>
    <w:rsid w:val="00836398"/>
    <w:rsid w:val="00847303"/>
    <w:rsid w:val="008F2A7E"/>
    <w:rsid w:val="00974CFB"/>
    <w:rsid w:val="00996958"/>
    <w:rsid w:val="009A0342"/>
    <w:rsid w:val="009B6E4B"/>
    <w:rsid w:val="009F741A"/>
    <w:rsid w:val="00AD5A3B"/>
    <w:rsid w:val="00AD7F96"/>
    <w:rsid w:val="00B505FB"/>
    <w:rsid w:val="00BA63E7"/>
    <w:rsid w:val="00BC23B0"/>
    <w:rsid w:val="00C20D7F"/>
    <w:rsid w:val="00C66F08"/>
    <w:rsid w:val="00C72344"/>
    <w:rsid w:val="00C86B9A"/>
    <w:rsid w:val="00C87C9E"/>
    <w:rsid w:val="00D35940"/>
    <w:rsid w:val="00D57D53"/>
    <w:rsid w:val="00D64C74"/>
    <w:rsid w:val="00DA4930"/>
    <w:rsid w:val="00DB171A"/>
    <w:rsid w:val="00DD0CB9"/>
    <w:rsid w:val="00E9325C"/>
    <w:rsid w:val="00EE32C6"/>
    <w:rsid w:val="00F0412A"/>
    <w:rsid w:val="00F13C5A"/>
    <w:rsid w:val="00F26CEF"/>
    <w:rsid w:val="00FB595C"/>
    <w:rsid w:val="00FE3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34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342"/>
    <w:pPr>
      <w:ind w:left="720"/>
      <w:contextualSpacing/>
    </w:pPr>
  </w:style>
  <w:style w:type="character" w:styleId="Collegamentoipertestuale">
    <w:name w:val="Hyperlink"/>
    <w:basedOn w:val="Carpredefinitoparagrafo"/>
    <w:uiPriority w:val="99"/>
    <w:unhideWhenUsed/>
    <w:rsid w:val="000427A7"/>
    <w:rPr>
      <w:color w:val="0563C1" w:themeColor="hyperlink"/>
      <w:u w:val="single"/>
    </w:rPr>
  </w:style>
  <w:style w:type="paragraph" w:styleId="Testofumetto">
    <w:name w:val="Balloon Text"/>
    <w:basedOn w:val="Normale"/>
    <w:link w:val="TestofumettoCarattere"/>
    <w:uiPriority w:val="99"/>
    <w:semiHidden/>
    <w:unhideWhenUsed/>
    <w:rsid w:val="00AD5A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34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342"/>
    <w:pPr>
      <w:ind w:left="720"/>
      <w:contextualSpacing/>
    </w:pPr>
  </w:style>
  <w:style w:type="character" w:styleId="Collegamentoipertestuale">
    <w:name w:val="Hyperlink"/>
    <w:basedOn w:val="Carpredefinitoparagrafo"/>
    <w:uiPriority w:val="99"/>
    <w:unhideWhenUsed/>
    <w:rsid w:val="000427A7"/>
    <w:rPr>
      <w:color w:val="0563C1" w:themeColor="hyperlink"/>
      <w:u w:val="single"/>
    </w:rPr>
  </w:style>
  <w:style w:type="paragraph" w:styleId="Testofumetto">
    <w:name w:val="Balloon Text"/>
    <w:basedOn w:val="Normale"/>
    <w:link w:val="TestofumettoCarattere"/>
    <w:uiPriority w:val="99"/>
    <w:semiHidden/>
    <w:unhideWhenUsed/>
    <w:rsid w:val="00AD5A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iglio.regione.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D'Ascola</dc:creator>
  <cp:lastModifiedBy>Nicoletta Rangone</cp:lastModifiedBy>
  <cp:revision>2</cp:revision>
  <dcterms:created xsi:type="dcterms:W3CDTF">2019-11-08T15:03:00Z</dcterms:created>
  <dcterms:modified xsi:type="dcterms:W3CDTF">2019-11-08T15:03:00Z</dcterms:modified>
</cp:coreProperties>
</file>